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0D18C0" w:rsidRDefault="000D18C0" w:rsidP="000D1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На отдельных территориях Иркутской области, на которых проведение переписи в общие сроки было затруднено, перепись состоялась в другие сроки – с 15 августа по 14 ноября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Разработка итогов Всероссийской переписи населения 2020 года произведена по муниципальным образованиям </w:t>
      </w:r>
      <w:r w:rsidR="004D7B6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  <w:proofErr w:type="gramEnd"/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на срок один год и более (независимо от того, сколько времени они пробыли в стране </w:t>
      </w:r>
      <w:proofErr w:type="gramStart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 xml:space="preserve">и более (независимо от того, когда они выехали </w:t>
      </w:r>
      <w:proofErr w:type="gramStart"/>
      <w:r w:rsidRPr="00C62B0E">
        <w:rPr>
          <w:rFonts w:ascii="Times New Roman" w:hAnsi="Times New Roman" w:cs="Times New Roman"/>
          <w:sz w:val="28"/>
        </w:rPr>
        <w:t>и</w:t>
      </w:r>
      <w:proofErr w:type="gramEnd"/>
      <w:r w:rsidRPr="00C62B0E">
        <w:rPr>
          <w:rFonts w:ascii="Times New Roman" w:hAnsi="Times New Roman" w:cs="Times New Roman"/>
          <w:sz w:val="28"/>
        </w:rPr>
        <w:t xml:space="preserve">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>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</w:t>
      </w:r>
    </w:p>
    <w:p w:rsidR="00250E9D" w:rsidRPr="000D18C0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</w:t>
      </w:r>
      <w:proofErr w:type="gramStart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</w:t>
      </w:r>
      <w:proofErr w:type="gramEnd"/>
      <w:r w:rsidR="00847465" w:rsidRPr="00847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>Вопрос о дате рождения был обязательным для заполнения всеми респондентами, поэтому в таблицах отсутствует группа «Возраст не указан».</w:t>
      </w:r>
      <w:r w:rsidR="00B077BF" w:rsidRPr="00B077BF">
        <w:rPr>
          <w:rFonts w:ascii="Times New Roman" w:hAnsi="Times New Roman" w:cs="Times New Roman"/>
          <w:sz w:val="28"/>
          <w:szCs w:val="28"/>
        </w:rPr>
        <w:t xml:space="preserve"> </w:t>
      </w:r>
      <w:r w:rsidR="00B077BF">
        <w:rPr>
          <w:rFonts w:ascii="Times New Roman" w:hAnsi="Times New Roman" w:cs="Times New Roman"/>
          <w:sz w:val="28"/>
          <w:szCs w:val="28"/>
        </w:rPr>
        <w:t xml:space="preserve">Сведения приведены в разрезе городских округов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7BF">
        <w:rPr>
          <w:rFonts w:ascii="Times New Roman" w:hAnsi="Times New Roman" w:cs="Times New Roman"/>
          <w:sz w:val="28"/>
          <w:szCs w:val="28"/>
        </w:rPr>
        <w:t xml:space="preserve">и муниципальных районов. </w:t>
      </w:r>
      <w:bookmarkStart w:id="0" w:name="_GoBack"/>
      <w:bookmarkEnd w:id="0"/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B0E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2B" w:rsidRDefault="0049612B" w:rsidP="0059770F">
      <w:pPr>
        <w:spacing w:after="0" w:line="240" w:lineRule="auto"/>
      </w:pPr>
      <w:r>
        <w:separator/>
      </w:r>
    </w:p>
  </w:endnote>
  <w:endnote w:type="continuationSeparator" w:id="0">
    <w:p w:rsidR="0049612B" w:rsidRDefault="0049612B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2B" w:rsidRDefault="0049612B" w:rsidP="0059770F">
      <w:pPr>
        <w:spacing w:after="0" w:line="240" w:lineRule="auto"/>
      </w:pPr>
      <w:r>
        <w:separator/>
      </w:r>
    </w:p>
  </w:footnote>
  <w:footnote w:type="continuationSeparator" w:id="0">
    <w:p w:rsidR="0049612B" w:rsidRDefault="0049612B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BF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0C3447"/>
    <w:rsid w:val="000D18C0"/>
    <w:rsid w:val="0014209B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9612B"/>
    <w:rsid w:val="004D25AB"/>
    <w:rsid w:val="004D4CF9"/>
    <w:rsid w:val="004D7B68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077BF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948E1"/>
    <w:rsid w:val="00DC5AA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P38_ManzanovaNU</cp:lastModifiedBy>
  <cp:revision>4</cp:revision>
  <cp:lastPrinted>2022-05-30T15:39:00Z</cp:lastPrinted>
  <dcterms:created xsi:type="dcterms:W3CDTF">2023-06-02T05:54:00Z</dcterms:created>
  <dcterms:modified xsi:type="dcterms:W3CDTF">2023-06-02T05:55:00Z</dcterms:modified>
</cp:coreProperties>
</file>